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E63A0D" w:rsidTr="00B71032">
        <w:tc>
          <w:tcPr>
            <w:tcW w:w="9854" w:type="dxa"/>
            <w:gridSpan w:val="13"/>
          </w:tcPr>
          <w:p w:rsidR="00B71032" w:rsidRPr="00CD2C96" w:rsidRDefault="00B71032" w:rsidP="00B7103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ӘЛ-ФАРАБИ АТЫНДАҒЫ ҚАЗАҚ ҰЛТТЫҚ УНИВЕРСИТЕТІ</w:t>
            </w:r>
          </w:p>
          <w:p w:rsidR="00B71032" w:rsidRPr="00CD2C96" w:rsidRDefault="00B71032" w:rsidP="00B7103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Физика - техникалық 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>факультет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</w:p>
          <w:p w:rsidR="00B71032" w:rsidRPr="00CD2C96" w:rsidRDefault="00B71032" w:rsidP="00B7103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Жылуфизика және техникалық физика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кафедра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сы</w:t>
            </w:r>
          </w:p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D2C96">
              <w:rPr>
                <w:rFonts w:ascii="Times New Roman" w:hAnsi="Times New Roman" w:cs="Times New Roman"/>
                <w:b/>
                <w:sz w:val="24"/>
              </w:rPr>
              <w:t>Силлабус</w:t>
            </w:r>
            <w:proofErr w:type="spellEnd"/>
          </w:p>
          <w:p w:rsidR="00AE2B3D" w:rsidRPr="008979C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9C319E">
              <w:rPr>
                <w:rFonts w:ascii="Times New Roman" w:hAnsi="Times New Roman" w:cs="Times New Roman"/>
                <w:b/>
                <w:sz w:val="24"/>
                <w:lang w:val="kk-KZ"/>
              </w:rPr>
              <w:t>8В</w:t>
            </w:r>
            <w:proofErr w:type="gramStart"/>
            <w:r w:rsidR="009C319E">
              <w:rPr>
                <w:rFonts w:ascii="Times New Roman" w:hAnsi="Times New Roman" w:cs="Times New Roman"/>
                <w:b/>
                <w:sz w:val="24"/>
                <w:lang w:val="kk-KZ"/>
              </w:rPr>
              <w:t>85</w:t>
            </w:r>
            <w:r w:rsidR="008979CD">
              <w:rPr>
                <w:rFonts w:ascii="Times New Roman" w:hAnsi="Times New Roman" w:cs="Times New Roman"/>
                <w:b/>
                <w:sz w:val="24"/>
              </w:rPr>
              <w:t xml:space="preserve"> )</w:t>
            </w:r>
            <w:proofErr w:type="gramEnd"/>
            <w:r w:rsidR="008979CD">
              <w:rPr>
                <w:rFonts w:ascii="Times New Roman" w:hAnsi="Times New Roman" w:cs="Times New Roman"/>
                <w:b/>
                <w:sz w:val="24"/>
              </w:rPr>
              <w:t xml:space="preserve"> Т</w:t>
            </w:r>
            <w:r w:rsidR="008979CD">
              <w:rPr>
                <w:rFonts w:ascii="Times New Roman" w:hAnsi="Times New Roman" w:cs="Times New Roman"/>
                <w:b/>
                <w:sz w:val="24"/>
                <w:lang w:val="kk-KZ"/>
              </w:rPr>
              <w:t>ехникалық термодинамика</w:t>
            </w:r>
          </w:p>
          <w:p w:rsidR="00AE2B3D" w:rsidRPr="00CD2C96" w:rsidRDefault="0017529F" w:rsidP="0017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Күзгі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семестр 2016-2017 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оқу жылы</w:t>
            </w:r>
            <w:r w:rsidR="00AE2B3D" w:rsidRPr="00CD2C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E2B3D" w:rsidRPr="00E63A0D" w:rsidTr="00B71032">
        <w:trPr>
          <w:trHeight w:val="265"/>
        </w:trPr>
        <w:tc>
          <w:tcPr>
            <w:tcW w:w="1668" w:type="dxa"/>
            <w:vMerge w:val="restart"/>
          </w:tcPr>
          <w:p w:rsidR="00AE2B3D" w:rsidRPr="00CD2C96" w:rsidRDefault="0017529F" w:rsidP="0017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>од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 аты</w:t>
            </w:r>
          </w:p>
        </w:tc>
        <w:tc>
          <w:tcPr>
            <w:tcW w:w="709" w:type="dxa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Тип</w:t>
            </w:r>
            <w:r w:rsidR="0017529F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</w:p>
        </w:tc>
        <w:tc>
          <w:tcPr>
            <w:tcW w:w="2835" w:type="dxa"/>
            <w:gridSpan w:val="5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proofErr w:type="spellStart"/>
            <w:r w:rsidRPr="00CD2C96">
              <w:rPr>
                <w:rFonts w:ascii="Times New Roman" w:hAnsi="Times New Roman" w:cs="Times New Roman"/>
                <w:b/>
                <w:sz w:val="24"/>
              </w:rPr>
              <w:t>редит</w:t>
            </w:r>
            <w:proofErr w:type="spellEnd"/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en-US"/>
              </w:rPr>
              <w:t>ECTS</w:t>
            </w:r>
          </w:p>
        </w:tc>
      </w:tr>
      <w:tr w:rsidR="00AE2B3D" w:rsidRPr="00E63A0D" w:rsidTr="00B71032">
        <w:trPr>
          <w:trHeight w:val="265"/>
        </w:trPr>
        <w:tc>
          <w:tcPr>
            <w:tcW w:w="1668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Семинар</w:t>
            </w:r>
          </w:p>
        </w:tc>
        <w:tc>
          <w:tcPr>
            <w:tcW w:w="945" w:type="dxa"/>
            <w:gridSpan w:val="2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Зертхана</w:t>
            </w:r>
          </w:p>
        </w:tc>
        <w:tc>
          <w:tcPr>
            <w:tcW w:w="1400" w:type="dxa"/>
            <w:gridSpan w:val="3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2B3D" w:rsidRPr="00E63A0D" w:rsidTr="00B71032">
        <w:tc>
          <w:tcPr>
            <w:tcW w:w="1668" w:type="dxa"/>
          </w:tcPr>
          <w:p w:rsidR="00AE2B3D" w:rsidRPr="000E6260" w:rsidRDefault="000E626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FPMF 1404</w:t>
            </w:r>
          </w:p>
        </w:tc>
        <w:tc>
          <w:tcPr>
            <w:tcW w:w="1842" w:type="dxa"/>
            <w:gridSpan w:val="2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Молекулалық физика</w:t>
            </w:r>
          </w:p>
        </w:tc>
        <w:tc>
          <w:tcPr>
            <w:tcW w:w="709" w:type="dxa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ЭБ</w:t>
            </w:r>
          </w:p>
        </w:tc>
        <w:tc>
          <w:tcPr>
            <w:tcW w:w="945" w:type="dxa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CD2C96" w:rsidRDefault="008979CD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CD2C96" w:rsidRDefault="008979C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400" w:type="dxa"/>
            <w:gridSpan w:val="3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400" w:type="dxa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01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D2C96">
              <w:rPr>
                <w:rFonts w:ascii="Times New Roman" w:hAnsi="Times New Roman" w:cs="Times New Roman"/>
                <w:b/>
                <w:sz w:val="24"/>
              </w:rPr>
              <w:t>Пререквизит</w:t>
            </w:r>
            <w:proofErr w:type="spellEnd"/>
            <w:r w:rsidR="0001503F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тер</w:t>
            </w:r>
          </w:p>
        </w:tc>
        <w:tc>
          <w:tcPr>
            <w:tcW w:w="8045" w:type="dxa"/>
            <w:gridSpan w:val="11"/>
          </w:tcPr>
          <w:p w:rsidR="00AE2B3D" w:rsidRPr="00CD2C96" w:rsidRDefault="009C319E" w:rsidP="00763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</w:t>
            </w:r>
            <w:r w:rsidR="00763983" w:rsidRPr="00CD2C96">
              <w:rPr>
                <w:rFonts w:ascii="Times New Roman" w:hAnsi="Times New Roman" w:cs="Times New Roman"/>
                <w:sz w:val="24"/>
                <w:lang w:val="kk-KZ"/>
              </w:rPr>
              <w:t>изика</w:t>
            </w:r>
            <w:r w:rsidR="0055493C">
              <w:rPr>
                <w:rFonts w:ascii="Times New Roman" w:hAnsi="Times New Roman" w:cs="Times New Roman"/>
                <w:sz w:val="24"/>
                <w:lang w:val="kk-KZ"/>
              </w:rPr>
              <w:t>, матиматика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CD2C96" w:rsidRDefault="0055493C" w:rsidP="0017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Бердіхан Қазырет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CD2C96" w:rsidRDefault="00B2725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Кесте бойынша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55493C" w:rsidRDefault="0055493C" w:rsidP="0055493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bkazyret@gmail.com</w:t>
            </w:r>
          </w:p>
        </w:tc>
        <w:tc>
          <w:tcPr>
            <w:tcW w:w="1701" w:type="dxa"/>
            <w:gridSpan w:val="5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55493C" w:rsidRDefault="0017529F" w:rsidP="00554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55493C">
              <w:rPr>
                <w:rFonts w:ascii="Times New Roman" w:hAnsi="Times New Roman" w:cs="Times New Roman"/>
                <w:sz w:val="24"/>
                <w:lang w:val="kk-KZ"/>
              </w:rPr>
              <w:t> </w:t>
            </w:r>
            <w:r w:rsidR="0055493C">
              <w:rPr>
                <w:rFonts w:ascii="Times New Roman" w:hAnsi="Times New Roman" w:cs="Times New Roman"/>
                <w:sz w:val="24"/>
                <w:lang w:val="en-US"/>
              </w:rPr>
              <w:t>702 558 33 39</w:t>
            </w:r>
          </w:p>
        </w:tc>
        <w:tc>
          <w:tcPr>
            <w:tcW w:w="1701" w:type="dxa"/>
            <w:gridSpan w:val="5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55493C" w:rsidRDefault="00B27258" w:rsidP="00554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55493C">
              <w:rPr>
                <w:rFonts w:ascii="Times New Roman" w:hAnsi="Times New Roman" w:cs="Times New Roman"/>
                <w:sz w:val="24"/>
                <w:lang w:val="en-US"/>
              </w:rPr>
              <w:t>37</w:t>
            </w:r>
          </w:p>
        </w:tc>
      </w:tr>
      <w:tr w:rsidR="00AE2B3D" w:rsidRPr="008979CD" w:rsidTr="00B71032">
        <w:tc>
          <w:tcPr>
            <w:tcW w:w="1809" w:type="dxa"/>
            <w:gridSpan w:val="2"/>
          </w:tcPr>
          <w:p w:rsidR="00AE2B3D" w:rsidRPr="00CD2C96" w:rsidRDefault="005B1997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 сипаттамасы</w:t>
            </w:r>
          </w:p>
        </w:tc>
        <w:tc>
          <w:tcPr>
            <w:tcW w:w="8045" w:type="dxa"/>
            <w:gridSpan w:val="11"/>
          </w:tcPr>
          <w:p w:rsidR="008979CD" w:rsidRPr="008979CD" w:rsidRDefault="008979CD" w:rsidP="00897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979CD">
              <w:rPr>
                <w:rFonts w:ascii="Times New Roman" w:hAnsi="Times New Roman" w:cs="Times New Roman"/>
                <w:sz w:val="24"/>
                <w:lang w:val="kk-KZ"/>
              </w:rPr>
              <w:t>Бакалаврларды тепе-теңдіксіз техникалық термодинамиканың</w:t>
            </w:r>
          </w:p>
          <w:p w:rsidR="00AE2B3D" w:rsidRPr="00CD2C96" w:rsidRDefault="008979CD" w:rsidP="00897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979CD">
              <w:rPr>
                <w:rFonts w:ascii="Times New Roman" w:hAnsi="Times New Roman" w:cs="Times New Roman"/>
                <w:sz w:val="24"/>
                <w:lang w:val="kk-KZ"/>
              </w:rPr>
              <w:t>негізгі қағидаларымен жəне термодинамикалық əдістің əртүрлі жылулық процестердіңтехникада қолданылу мүмкіншілігімен таныстыру пəннің оқыту мақсаты болады.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  <w:lang w:val="kk-KZ"/>
              </w:rPr>
              <w:t>«Техникалық термодинамикасы» пəні арқылы студенттер физиканың бір саласы болатын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  <w:lang w:val="kk-KZ"/>
              </w:rPr>
              <w:t xml:space="preserve">техникалық денелердің бейнелеудің жалпы негіздерімен танысады.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Қайтымсыз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процестер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термодинамикасы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Сақталу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заңдары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Үзіліссіздік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теңдеулері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. Термодинамика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заңдары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>. Карно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</w:rPr>
              <w:t xml:space="preserve">циклы.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Дизел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циклы. Энтропия. Энтальпия. Су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буы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жəне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ауа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Дымқыл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ауа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Күй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диаграммалары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Изопроцестер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Суытқыш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машиналар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. Кондиционер. Компрессор.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Студенттер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қайтымсыз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процестердің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теориясының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негізгі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қағидаларымен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жəне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жылулық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суытқыш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қондырғылар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изопроцестер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қасиеттерін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бейнелеуімен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сонымен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қатар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теорияның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жылулық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құбылыстар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саласында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кейбір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қолдануымен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танысады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  <w:lang w:val="kk-KZ"/>
              </w:rPr>
              <w:t>Пəнді оқып білу мəселелері – студенттер теорияның негізгі теңдеулері: əртүрлі сақталу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  <w:lang w:val="kk-KZ"/>
              </w:rPr>
              <w:t>заңдарымен, энтропияның баланс теңдеуі жəне термодинамикалық қатыстармен, іштен жану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  <w:lang w:val="kk-KZ"/>
              </w:rPr>
              <w:t>қозғалтқыштарымен, суытқыш қондырғылармен, əртүрлі циклдык процестермен танысу керек.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  <w:lang w:val="kk-KZ"/>
              </w:rPr>
              <w:t>Басты мəселе жүйедегі энтропия өндірісінің қарқындылығы мен оларда өтетін əртүрлі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  <w:lang w:val="kk-KZ"/>
              </w:rPr>
              <w:t>қайтымды жəне қайтымсыз процестер арасындағы тəуелділікті табу болады.__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5B1997" w:rsidP="005659C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Курс мақсаты</w:t>
            </w:r>
          </w:p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8979CD" w:rsidRPr="008979CD" w:rsidRDefault="008979CD" w:rsidP="00897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</w:t>
            </w:r>
            <w:r w:rsidRPr="008979CD">
              <w:rPr>
                <w:rFonts w:ascii="Times New Roman" w:hAnsi="Times New Roman" w:cs="Times New Roman"/>
                <w:sz w:val="24"/>
              </w:rPr>
              <w:t>алпы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физика курсы: физика, химия, математика, механика,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молекулалық</w:t>
            </w:r>
            <w:proofErr w:type="spellEnd"/>
          </w:p>
          <w:p w:rsidR="00AE2B3D" w:rsidRPr="00CD2C96" w:rsidRDefault="008979CD" w:rsidP="00897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979CD">
              <w:rPr>
                <w:rFonts w:ascii="Times New Roman" w:hAnsi="Times New Roman" w:cs="Times New Roman"/>
                <w:sz w:val="24"/>
              </w:rPr>
              <w:t>физика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жəне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электрдинамика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бөлімдері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теориялық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физика курсы: термодинамика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жəнестатистикалық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физика;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дифференциалдық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жəне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интегралдық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есептеу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векторлық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жəнетензорлық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</w:rPr>
              <w:t>талдау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E2B3D" w:rsidRPr="008979CD" w:rsidTr="00B71032">
        <w:tc>
          <w:tcPr>
            <w:tcW w:w="1809" w:type="dxa"/>
            <w:gridSpan w:val="2"/>
          </w:tcPr>
          <w:p w:rsidR="00AE2B3D" w:rsidRPr="00CD2C96" w:rsidRDefault="00E14D20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Нәтиже</w:t>
            </w:r>
          </w:p>
        </w:tc>
        <w:tc>
          <w:tcPr>
            <w:tcW w:w="8045" w:type="dxa"/>
            <w:gridSpan w:val="11"/>
          </w:tcPr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пəндері саласындағы базалық білімдерін пайдалану қабілеттіктері жəне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кəсіптік салада негізгі заңдарды пайдалануға деген дайындықтары, сонымен қатар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əдістерді талдау мен моделдеу, теориялық жəне эксперименттік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зерттеулер;</w:t>
            </w:r>
          </w:p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кəсіптік салада туындаған мəселенің жаратылыстық-ғылыми мазмұнын түсіну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7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дайындығы жəне физика-математикалық жолдармен шешудегі қабілеттіліктерін көрсету;</w:t>
            </w:r>
          </w:p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Пəнді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меңгерудегі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мəдени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құзіреттілік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-дара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жұмыстарға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өзбетімен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кəсіптік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құзіреттілік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қабылдай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өмірде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кəсібі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нормалық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моральдық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шешімдерге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оңтайлы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көзқарастар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білдіру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Пəнді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нəтижесінде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студент:</w:t>
            </w:r>
          </w:p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- Термодинамика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заңдарын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жылуэнергетика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қондырғыларындағы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термодинамиканың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заңдылықтарын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Маңызды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түсініктер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анықтамаларды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сызықты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тепе-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теңдіксіз</w:t>
            </w:r>
            <w:proofErr w:type="spellEnd"/>
          </w:p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термодинамиканың</w:t>
            </w:r>
            <w:proofErr w:type="spellEnd"/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нəтижелерін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білуі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- Термодинамика мен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қайтымсыз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процестердің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термодинамикалық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түсінігі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Дағдысы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79CD" w:rsidRPr="008979CD" w:rsidRDefault="008979CD" w:rsidP="008979CD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Əртүрлі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энергоқондырғыларға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жылулық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есептерді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шеше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білуі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B3D" w:rsidRPr="00CD2C96" w:rsidRDefault="008979CD" w:rsidP="008979CD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Анықтамалық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əдебиеттерді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термодинамикалық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есептеулер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жүргізе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білуі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._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FB6E0A" w:rsidP="00FB6E0A">
            <w:pPr>
              <w:tabs>
                <w:tab w:val="left" w:pos="1415"/>
              </w:tabs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Әдебиеттер және</w:t>
            </w:r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 xml:space="preserve"> ресурс</w:t>
            </w: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тар</w:t>
            </w:r>
          </w:p>
        </w:tc>
        <w:tc>
          <w:tcPr>
            <w:tcW w:w="8045" w:type="dxa"/>
            <w:gridSpan w:val="11"/>
          </w:tcPr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Қуатбеков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М.К.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термодинамика.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/ М.К.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Қуатбеков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Ақынбеков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- Алматы: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Рауан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, 1995. - 212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Қуатбеков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М.К.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термодинамика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беріліс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/ М. К.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Қуатбеков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, Е.К.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Ақынбеков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; Қ.И.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Сəтбаев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- Алматы: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ҚазҰТУ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, 2005. - 186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Молдабекова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М.С.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Қайтымсыз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процестер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термодинамикасы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қүралы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 - Алматы: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2009.-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118 б.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Молдабекова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М.С. Термодинамика необратимых процессов: Учебное </w:t>
            </w:r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пособие.-</w:t>
            </w:r>
            <w:proofErr w:type="gramEnd"/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2004.-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102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Вукалович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М.П., Новиков И.И. Техническая термодинамика. – М.: Энергия, 1968. –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496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6. Кудинов В.А., Карташов Э.М. Техническая термодинамика. – М.: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2000. –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261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7. Техническая термодинамика: Учебник для вузов / В.А. Кириллин, В.В. Сычев, А.Е.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Шейндлин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- 4-е изд.,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Энергоатомиздат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, 1983. – 416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8. Андрющенко А.И. Основы технической термодинамики реальных процессов. – М.: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1967. – 269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9. Андрианова Т.Н.,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Дзампов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Б.В., Зубарев В.Н., Ремизов С.А. Сборник задач по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термодинамике. – М.-Л.: Изд-во «Энергия», 1964. – 200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10. Рабинович О.М. Сборник задач по технической термодинамике. – М.: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Машиностроение, 1973. – 344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Вукалович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М.П., Ривкин С.Л., Александров А.А. Теплофизические свойства воды и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водяного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пара. – М.: Энергия, 1980. – 424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Вукалович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М.П., Новиков И.И. Термодинамика. – М.: Машиностроение, 1972. – 670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  <w:r w:rsidRPr="0089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əдебиеттер</w:t>
            </w:r>
            <w:proofErr w:type="spellEnd"/>
            <w:r w:rsidRPr="0089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1. Техническая термодинамика с основами теплопередачи и гидравлики: Учеб</w:t>
            </w:r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/ Н.Г.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Лашутина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, О.В. Макашова, Р.М. Медведев. – Л.: Машиностроение, 1988. – 336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2. 2.2 Техническая термодинамика: Учеб</w:t>
            </w:r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 для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машиностроит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спец. вузов / В.И.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Крутов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, С.И.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Исаев, И.А.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Кожинов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В.И.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– 3-е изд.,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доп. – М.: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1991. – 384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3. Ривкин С.Л., Александров А.А. Термодинамические свойства воды и водяного пара: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Справочник. – М.: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Энергоиздат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, 1984. – 80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Нащокин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В.В. Техническая термодинамика и теплопередача: [Учеб</w:t>
            </w:r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неэнерг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спец. вузов] / Владимир Васильевич </w:t>
            </w:r>
            <w:proofErr w:type="spellStart"/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Нащокин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3-е изд.,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и доп.- М.: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., 1980.-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469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5. Юдаев Б.Н. Техническая термодинамика. Теплопередача. – М.: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1988. – 480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6. Бэр Г.Д. Техническая термодинамика. Теоретические основы и технические приложения. –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М.: Изд-во «Мир», 1977. – 518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Л.С. Техническая термодинамика и теплотехника: учеб</w:t>
            </w:r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 для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вузов / Людмила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Семеновна </w:t>
            </w:r>
            <w:proofErr w:type="spellStart"/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М.: ГЭОТАР-Мед, 2003.- 350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8. Ривкин С.Л. Термодинамические свойства газов: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Справочник_Y</w:t>
            </w:r>
            <w:r w:rsidRPr="008979CD">
              <w:rPr>
                <w:rFonts w:ascii="Times New Roman" w:eastAsia="MS Mincho" w:hAnsi="Times New Roman" w:cs="Times New Roman"/>
                <w:sz w:val="24"/>
                <w:szCs w:val="24"/>
              </w:rPr>
              <w:t>ｪ</w:t>
            </w:r>
            <w:proofErr w:type="spellEnd"/>
            <w:r w:rsidRPr="008979CD">
              <w:rPr>
                <w:rFonts w:ascii="Times New Roman" w:eastAsia="MS Mincho" w:hAnsi="Times New Roman" w:cs="Times New Roman"/>
                <w:sz w:val="24"/>
                <w:szCs w:val="24"/>
              </w:rPr>
              <w:t>・</w:t>
            </w: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. – М.: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Энергоатомиздат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, 1987.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– 288 с.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Хачкурузов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Г.А. Основы общей и химической термодинамики. – М.: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1979. – 272</w:t>
            </w:r>
          </w:p>
          <w:p w:rsidR="008979CD" w:rsidRPr="008979CD" w:rsidRDefault="008979CD" w:rsidP="008979C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9C319E" w:rsidRPr="008979CD" w:rsidRDefault="008979CD" w:rsidP="008979CD">
            <w:pPr>
              <w:pStyle w:val="Default"/>
              <w:tabs>
                <w:tab w:val="left" w:pos="1134"/>
              </w:tabs>
              <w:spacing w:after="27"/>
              <w:jc w:val="both"/>
            </w:pPr>
            <w:r w:rsidRPr="008979CD">
              <w:rPr>
                <w:color w:val="auto"/>
              </w:rPr>
              <w:t xml:space="preserve">10. </w:t>
            </w:r>
            <w:proofErr w:type="spellStart"/>
            <w:r w:rsidRPr="008979CD">
              <w:rPr>
                <w:color w:val="auto"/>
              </w:rPr>
              <w:t>Карапетьянц</w:t>
            </w:r>
            <w:proofErr w:type="spellEnd"/>
            <w:r w:rsidRPr="008979CD">
              <w:rPr>
                <w:color w:val="auto"/>
              </w:rPr>
              <w:t xml:space="preserve"> М.Х. Химическая термодинамика. – М. Изд-во «Химия», 1975. – 584 с.</w:t>
            </w:r>
          </w:p>
          <w:p w:rsidR="00AE2B3D" w:rsidRPr="00AA0304" w:rsidRDefault="00AE2B3D" w:rsidP="00E14D20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FB6E0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К</w:t>
            </w:r>
            <w:proofErr w:type="spellStart"/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>урс</w:t>
            </w:r>
            <w:proofErr w:type="spellEnd"/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ты ұйымдастыру</w:t>
            </w:r>
          </w:p>
          <w:p w:rsidR="00AE2B3D" w:rsidRPr="00CD2C96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Әр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аудитор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иялық сабаққа алдын ала, төменде келтірілген кестеге сәйкес дайындалып келуіңіз керек.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удитор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иялық сабақта кестеге сәйкес дайындалып келген тақырып талқыланылады. </w:t>
            </w:r>
          </w:p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Үй тапсырмасы пәннің кестесіндегі келтірілген апталарға сәйкес 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семест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рге жіктеледі.</w:t>
            </w:r>
          </w:p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bCs/>
                <w:sz w:val="24"/>
                <w:lang w:val="kk-KZ"/>
              </w:rPr>
              <w:t>Үй тапсырмасына дайындалу барысында м</w:t>
            </w:r>
            <w:proofErr w:type="spellStart"/>
            <w:r w:rsidRPr="00CD2C96">
              <w:rPr>
                <w:rFonts w:ascii="Times New Roman" w:hAnsi="Times New Roman" w:cs="Times New Roman"/>
                <w:bCs/>
                <w:sz w:val="24"/>
              </w:rPr>
              <w:t>иға</w:t>
            </w:r>
            <w:proofErr w:type="spellEnd"/>
            <w:r w:rsidRPr="00CD2C9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CD2C96">
              <w:rPr>
                <w:rFonts w:ascii="Times New Roman" w:hAnsi="Times New Roman" w:cs="Times New Roman"/>
                <w:bCs/>
                <w:sz w:val="24"/>
              </w:rPr>
              <w:t>шабуыл</w:t>
            </w:r>
            <w:proofErr w:type="spellEnd"/>
            <w:r w:rsidRPr="00CD2C96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, 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жобалық технология қолданылуы талап етілетіндіктен  сайтымыздағы ПОӘК-дегі қосымшалардағы интербелсенді әдістермен танысуыңыз керек.</w:t>
            </w:r>
          </w:p>
          <w:p w:rsidR="00AE2B3D" w:rsidRPr="00CD2C96" w:rsidRDefault="0055493C" w:rsidP="0055493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69D4">
              <w:rPr>
                <w:rFonts w:ascii="Times New Roman" w:hAnsi="Times New Roman" w:cs="Times New Roman"/>
                <w:sz w:val="24"/>
                <w:lang w:val="kk-KZ"/>
              </w:rPr>
              <w:t>Үй тапсырмасы дәптерге орындалуы тиіс.</w:t>
            </w: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823DF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Курс талабы</w:t>
            </w:r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045" w:type="dxa"/>
            <w:gridSpan w:val="11"/>
          </w:tcPr>
          <w:p w:rsidR="00AE2B3D" w:rsidRPr="0055493C" w:rsidRDefault="008979CD" w:rsidP="008979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пəнмен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мамандандыру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курстар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оқылады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газдар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физикасы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газодинамика,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газдардың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кинетикалық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жылутехникалық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пəндерді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меңгеруде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897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2B3D" w:rsidRPr="00E63A0D" w:rsidTr="00B71032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CD2C96" w:rsidRDefault="003360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Бағалау саясаты</w:t>
            </w:r>
          </w:p>
        </w:tc>
        <w:tc>
          <w:tcPr>
            <w:tcW w:w="4536" w:type="dxa"/>
            <w:gridSpan w:val="6"/>
          </w:tcPr>
          <w:p w:rsidR="00AE2B3D" w:rsidRPr="00CD2C96" w:rsidRDefault="00336089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Өздік жұмыс сипаттамасы</w:t>
            </w:r>
          </w:p>
        </w:tc>
        <w:tc>
          <w:tcPr>
            <w:tcW w:w="851" w:type="dxa"/>
            <w:gridSpan w:val="2"/>
          </w:tcPr>
          <w:p w:rsidR="00AE2B3D" w:rsidRPr="00CD2C96" w:rsidRDefault="00644CA3" w:rsidP="00644C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2658" w:type="dxa"/>
            <w:gridSpan w:val="3"/>
          </w:tcPr>
          <w:p w:rsidR="00AE2B3D" w:rsidRPr="00CD2C96" w:rsidRDefault="00644CA3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Оқу </w:t>
            </w:r>
            <w:r w:rsidR="002F5C59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нәтижесі</w:t>
            </w:r>
          </w:p>
        </w:tc>
      </w:tr>
      <w:tr w:rsidR="00AE2B3D" w:rsidRPr="00E63A0D" w:rsidTr="00B71032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gridSpan w:val="6"/>
          </w:tcPr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Үй тапсырмасы</w:t>
            </w:r>
          </w:p>
          <w:p w:rsidR="00AE2B3D" w:rsidRPr="00CD2C96" w:rsidRDefault="00E851A1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Есептерді шығару</w:t>
            </w:r>
          </w:p>
          <w:p w:rsidR="00AE2B3D" w:rsidRPr="00CD2C96" w:rsidRDefault="00E851A1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тапсырмаларын шығару</w:t>
            </w:r>
          </w:p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Емтихан</w:t>
            </w:r>
          </w:p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БАРЛЫҒЫ</w:t>
            </w:r>
          </w:p>
        </w:tc>
        <w:tc>
          <w:tcPr>
            <w:tcW w:w="851" w:type="dxa"/>
            <w:gridSpan w:val="2"/>
          </w:tcPr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35%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10%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15%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D2C96">
              <w:rPr>
                <w:rFonts w:ascii="Times New Roman" w:hAnsi="Times New Roman" w:cs="Times New Roman"/>
                <w:sz w:val="24"/>
                <w:u w:val="single"/>
              </w:rPr>
              <w:t>40%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1,2,3</w:t>
            </w:r>
            <w:r w:rsidR="00644CA3" w:rsidRPr="00CD2C96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CD2C96">
              <w:rPr>
                <w:rFonts w:ascii="Times New Roman" w:hAnsi="Times New Roman" w:cs="Times New Roman"/>
                <w:sz w:val="24"/>
              </w:rPr>
              <w:t>4,5,6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2,3,4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4,5,6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1,2,3,4,5,6</w:t>
            </w:r>
          </w:p>
        </w:tc>
      </w:tr>
      <w:tr w:rsidR="00AE2B3D" w:rsidRPr="00E63A0D" w:rsidTr="00B71032">
        <w:tc>
          <w:tcPr>
            <w:tcW w:w="1809" w:type="dxa"/>
            <w:gridSpan w:val="2"/>
            <w:vMerge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AE2B3D" w:rsidRPr="00CD2C96" w:rsidRDefault="00024F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Сіздің қорытынды бағаңыз келесі өрнекпен есептелінеді:</w:t>
            </w:r>
          </w:p>
          <w:p w:rsidR="00AE2B3D" w:rsidRPr="00CD2C96" w:rsidRDefault="007969C4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соңғы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СБ</m:t>
                </m:r>
              </m:oMath>
            </m:oMathPara>
          </w:p>
          <w:p w:rsidR="00AE2B3D" w:rsidRPr="00CD2C96" w:rsidRDefault="007969C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Төменде пайызбен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минимал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ды бағалар берілген</w:t>
            </w:r>
            <w:r w:rsidR="00AE2B3D" w:rsidRPr="00CD2C96">
              <w:rPr>
                <w:rFonts w:ascii="Times New Roman" w:hAnsi="Times New Roman" w:cs="Times New Roman"/>
                <w:sz w:val="24"/>
              </w:rPr>
              <w:t>: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95% - 100%: А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90% - 94%: А-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85% - 89%: В+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80% - 84%: В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75% - 79%: В-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70% - 74%: С+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65% - 69%: С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60% - 64%: С-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lastRenderedPageBreak/>
              <w:t xml:space="preserve">55% - 59%: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D2C96">
              <w:rPr>
                <w:rFonts w:ascii="Times New Roman" w:hAnsi="Times New Roman" w:cs="Times New Roman"/>
                <w:sz w:val="24"/>
              </w:rPr>
              <w:t>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 xml:space="preserve">50% - 54%: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D2C96">
              <w:rPr>
                <w:rFonts w:ascii="Times New Roman" w:hAnsi="Times New Roman" w:cs="Times New Roman"/>
                <w:sz w:val="24"/>
              </w:rPr>
              <w:t>-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 xml:space="preserve">            0% -49%: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</w:tr>
      <w:tr w:rsidR="00AE2B3D" w:rsidRPr="009E5E5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55493C" w:rsidRDefault="0055493C" w:rsidP="00AA0F2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Практикада алынған білімді шығармашылық тұрғыдан қолдана білу, жаңа білімді нақты аймақтарда шығару; жалпылауға, талдауға, ақпаратты қабылдауға мақсат қою мен оған апаратын жолдарды айқындауға қабілеттілік; қолданбалы есептерге физикалық заңдылықтар мен негізгі түсініктерді қолдану</w:t>
            </w:r>
            <w:r w:rsidRPr="005549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экспериментальдық мәліметтерді өңдеудің негізгі тәсілдері;</w:t>
            </w:r>
            <w:r w:rsidRPr="00554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E2B3D" w:rsidRPr="00E63A0D" w:rsidTr="00B71032">
        <w:tc>
          <w:tcPr>
            <w:tcW w:w="9854" w:type="dxa"/>
            <w:gridSpan w:val="13"/>
          </w:tcPr>
          <w:p w:rsidR="00AE2B3D" w:rsidRPr="00CD2C96" w:rsidRDefault="0001503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Пән кестесі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6666"/>
        <w:gridCol w:w="851"/>
        <w:gridCol w:w="1417"/>
      </w:tblGrid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аты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9E5E5D" w:rsidRPr="00A13C91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9E5E5D" w:rsidRPr="00A13C91" w:rsidRDefault="00596DFE" w:rsidP="00A13C91">
            <w:pPr>
              <w:pStyle w:val="a6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="00A13C91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E5E5D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Қателіктер теорисының элементтері және өлшеу нәтижелерін өңдеу.  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Өлшеу түрлері. Өлшеу </w:t>
            </w:r>
            <w:bookmarkStart w:id="0" w:name="_GoBack"/>
            <w:bookmarkEnd w:id="0"/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қателіктері.  Жанама өлшеу қателіктерін табу. Тура өлшеу қателіктерін табу. Аз квадрат әдісі.</w:t>
            </w:r>
          </w:p>
        </w:tc>
        <w:tc>
          <w:tcPr>
            <w:tcW w:w="851" w:type="dxa"/>
            <w:shd w:val="clear" w:color="auto" w:fill="auto"/>
          </w:tcPr>
          <w:p w:rsidR="009E5E5D" w:rsidRPr="00A13C91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9E5E5D" w:rsidRPr="00A13C91" w:rsidRDefault="00596DFE" w:rsidP="00A13C91">
            <w:pPr>
              <w:pStyle w:val="a6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="00A13C91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E5E5D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Молекулалық физикада биномиальды таралу.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Детерминирленген және статистикалық заңдар.  Ықтималдық теориясының негізгі түсініктері. Биномиальды таралу. Биномиальды таралудың қасиеттері. Физикадағы биномиальды таралу. Лаплас – Гаусс таралуы. 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</w:rPr>
              <w:t>Гаусс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таралуы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зертханалық сабақ. Ықтималдықтың биномиальды таралу заңы.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лекция.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Температураның физикалық мағынасы.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лік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шкала.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зертханалық сабақ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ермоэлектр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градуирлеу.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емператур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Қысым. Молекула-кинетикалық теорияның негізгі теңдеуі. И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деал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күйінің теңдеуі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зертханалық сабақ. Больцман тұрақтысын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Дальтон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заңы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Изопараметр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ңдар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End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</w:t>
            </w:r>
            <w:proofErr w:type="spellStart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екция</w:t>
            </w:r>
            <w:proofErr w:type="spellEnd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Қысымды өлшеу.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Сұйықтық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зертханалық сабақ. Больцман тұрақтысын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Бурдон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манометрі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поршн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манометр.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лекция. Идеал газ жылусыйымдылығы.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Жылусыйымдылық. Универсал газ тұрақтысының физикалық мағынасы.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 зертханалық жұмыс. Тұрғын толқын әдісімен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қатынасты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Жылусыйымдылықтың теориялық мәндері мен тәжірибелік мәндерін салыстыру.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889" w:type="dxa"/>
            <w:gridSpan w:val="4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Термодинамиканың екінші бастамасы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лекция. Жылу мөлшерін және жылусыйымдылығын өлшеу.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Жылумөлшерін өлшеу. Жылусыйымдылықты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қатынасын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коллоквиум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жұмыстарды тапсыру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бақылау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бақылау: 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Коллоквиум, № 1 бақылау жұмысы.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лекция. Сұйық жылусыйымдылығы.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жылусыйымдылығы.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жылусыйымдылығын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тәжірибелік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зертханалық жұмыс. Квалиметрлік әдіспен жылусыйымдылықты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тұтқырлығы.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Тұтқырлық үйкеліс. Тұтқыр сұйықтың түтік бойымен ағуы.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Тұтқырлық коэффициентін өлшеу.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7 зертханалық жұмыс. Ауаның тұтқырлығын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rPr>
          <w:trHeight w:val="619"/>
        </w:trPr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Сұйықтағы молекуланың жылулық қозғалысының ерекшеліктері.  Я.И. Френкель моделі. 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 тұтқырлығы. Сұйық тұтқырлығын анықтау тәжірибелері.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зертханалық жұмыс. Сұйық тұтқырлығының температуралық байланысын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лекция. Сұйық шекарасындағы құбылыстар.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Беттік керілу коэффициенті. 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Сұйық бетіндегі қисықтарда пайда болатын күштер.  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Капиляр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құбылыстар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 зертханалық жұмыс. Сұйықтың беттік керілу коэффициентін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Беттік керілу коэффициентін анықтау.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Сақина қиынды әдісі.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8979C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Капилярлы толқын әдісі. Тамшы және торсылдақ әдісі.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 зертханалық жұмыс. Сұйықтың беттік керілу коэффициентін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лекция.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Фазалық ауысулар. Кристалдану және балқу процестері.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Меншікті жылу кристалдануын (балқуды) тәжірибелік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4. Зертханалық жұмыс. Қалайының меншікті балқуын және  энтропиясының өзгеруін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лекция.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Қатты дененің жылуөткізгіштігі.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Жылуөткізгіш. Жылулық ағын.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денелер. Жылуөткізгіштікті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10 зертханалық жұмыс. Квазистационар режимде заттың жылуөткізгіңштігін квалиметрлік әдіспен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rPr>
          <w:trHeight w:val="419"/>
        </w:trPr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15 лекция. Қортынды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 коллоквиум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жұмыстарды тапсыру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бақылау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бақылау: 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Коллоквиум, № 1 бақылау жұмысы.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9E5E5D" w:rsidRDefault="009E5E5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B3D" w:rsidRPr="00180435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>акультет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180435">
        <w:rPr>
          <w:rFonts w:ascii="Times New Roman" w:hAnsi="Times New Roman" w:cs="Times New Roman"/>
          <w:sz w:val="24"/>
          <w:szCs w:val="24"/>
          <w:lang w:val="kk-KZ"/>
        </w:rPr>
        <w:t>екан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180435">
        <w:rPr>
          <w:rFonts w:ascii="Times New Roman" w:hAnsi="Times New Roman" w:cs="Times New Roman"/>
          <w:sz w:val="24"/>
          <w:szCs w:val="24"/>
          <w:lang w:val="kk-KZ"/>
        </w:rPr>
        <w:t>А.Е. Давлетов</w:t>
      </w:r>
    </w:p>
    <w:p w:rsidR="00AE2B3D" w:rsidRPr="009E5E5D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</w:t>
      </w:r>
      <w:r w:rsidRPr="00180435">
        <w:rPr>
          <w:rFonts w:ascii="Times New Roman" w:hAnsi="Times New Roman" w:cs="Times New Roman"/>
          <w:sz w:val="24"/>
          <w:szCs w:val="24"/>
          <w:lang w:val="kk-KZ"/>
        </w:rPr>
        <w:t>бю</w:t>
      </w:r>
      <w:r w:rsidRPr="009E5E5D">
        <w:rPr>
          <w:rFonts w:ascii="Times New Roman" w:hAnsi="Times New Roman" w:cs="Times New Roman"/>
          <w:sz w:val="24"/>
          <w:szCs w:val="24"/>
          <w:lang w:val="kk-KZ"/>
        </w:rPr>
        <w:t>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төрайымы</w:t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  <w:t>А. Габдулина</w:t>
      </w:r>
    </w:p>
    <w:p w:rsidR="00AE2B3D" w:rsidRPr="009E5E5D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E2B3D" w:rsidRPr="009E5E5D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>а меңгерушісі</w:t>
      </w:r>
      <w:r w:rsidR="00AE2B3D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  <w:t>С.А. Болегенова</w:t>
      </w:r>
    </w:p>
    <w:p w:rsidR="00AE2B3D" w:rsidRPr="0055493C" w:rsidRDefault="0055493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Оқытушы </w:t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Б. Қазырет</w:t>
      </w:r>
    </w:p>
    <w:p w:rsidR="00A7306B" w:rsidRPr="00A7306B" w:rsidRDefault="00A7306B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79CD" w:rsidRPr="00A7306B" w:rsidRDefault="00897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979CD" w:rsidRPr="00A7306B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482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992"/>
    <w:multiLevelType w:val="hybridMultilevel"/>
    <w:tmpl w:val="AC8E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05AA"/>
    <w:multiLevelType w:val="hybridMultilevel"/>
    <w:tmpl w:val="943C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2460"/>
    <w:multiLevelType w:val="hybridMultilevel"/>
    <w:tmpl w:val="6DAA86AA"/>
    <w:lvl w:ilvl="0" w:tplc="8806DFFE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031C1"/>
    <w:multiLevelType w:val="hybridMultilevel"/>
    <w:tmpl w:val="7DAEFF76"/>
    <w:lvl w:ilvl="0" w:tplc="8806DF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8806DF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FD227BD"/>
    <w:multiLevelType w:val="hybridMultilevel"/>
    <w:tmpl w:val="28F6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EF98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70206"/>
    <w:multiLevelType w:val="hybridMultilevel"/>
    <w:tmpl w:val="B7ACF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9346DD"/>
    <w:multiLevelType w:val="hybridMultilevel"/>
    <w:tmpl w:val="B8BED63A"/>
    <w:lvl w:ilvl="0" w:tplc="FB160F4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0A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4E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8D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2B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48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B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C2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E4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75205"/>
    <w:multiLevelType w:val="multilevel"/>
    <w:tmpl w:val="A6188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6B5D225A"/>
    <w:multiLevelType w:val="hybridMultilevel"/>
    <w:tmpl w:val="6622BA9A"/>
    <w:lvl w:ilvl="0" w:tplc="2C3C5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636"/>
    <w:rsid w:val="000013B8"/>
    <w:rsid w:val="00002036"/>
    <w:rsid w:val="000025A0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503F"/>
    <w:rsid w:val="000167EC"/>
    <w:rsid w:val="000168E8"/>
    <w:rsid w:val="0001758E"/>
    <w:rsid w:val="00022E20"/>
    <w:rsid w:val="000233B3"/>
    <w:rsid w:val="000235CB"/>
    <w:rsid w:val="0002412B"/>
    <w:rsid w:val="00024F26"/>
    <w:rsid w:val="0002567F"/>
    <w:rsid w:val="00026568"/>
    <w:rsid w:val="00026F9D"/>
    <w:rsid w:val="00034AC1"/>
    <w:rsid w:val="000364C0"/>
    <w:rsid w:val="000368B3"/>
    <w:rsid w:val="00036A96"/>
    <w:rsid w:val="00043FB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1574"/>
    <w:rsid w:val="00092538"/>
    <w:rsid w:val="00092C10"/>
    <w:rsid w:val="00092D9B"/>
    <w:rsid w:val="000A15FB"/>
    <w:rsid w:val="000A1F60"/>
    <w:rsid w:val="000A226B"/>
    <w:rsid w:val="000A308A"/>
    <w:rsid w:val="000A3C0C"/>
    <w:rsid w:val="000A40C6"/>
    <w:rsid w:val="000A6BEE"/>
    <w:rsid w:val="000A7161"/>
    <w:rsid w:val="000A76FF"/>
    <w:rsid w:val="000B004C"/>
    <w:rsid w:val="000B08C5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260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3CD"/>
    <w:rsid w:val="0012066A"/>
    <w:rsid w:val="00120D87"/>
    <w:rsid w:val="00121017"/>
    <w:rsid w:val="00122B51"/>
    <w:rsid w:val="00122D38"/>
    <w:rsid w:val="00123663"/>
    <w:rsid w:val="00123D7E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6511"/>
    <w:rsid w:val="00147081"/>
    <w:rsid w:val="00147AAA"/>
    <w:rsid w:val="0015099B"/>
    <w:rsid w:val="00151995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529F"/>
    <w:rsid w:val="00177EDF"/>
    <w:rsid w:val="00180435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28B3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2D4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1D22"/>
    <w:rsid w:val="001D1DC8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27CA5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47F5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48FD"/>
    <w:rsid w:val="002E5203"/>
    <w:rsid w:val="002F3213"/>
    <w:rsid w:val="002F5C59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2723E"/>
    <w:rsid w:val="0033224F"/>
    <w:rsid w:val="0033349E"/>
    <w:rsid w:val="003359EC"/>
    <w:rsid w:val="00336089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7B1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C75CB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5AD"/>
    <w:rsid w:val="00475595"/>
    <w:rsid w:val="00475A15"/>
    <w:rsid w:val="00475DE5"/>
    <w:rsid w:val="00476A3F"/>
    <w:rsid w:val="00477242"/>
    <w:rsid w:val="00477267"/>
    <w:rsid w:val="00481040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4FD6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64F4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493C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DFE"/>
    <w:rsid w:val="00596FD8"/>
    <w:rsid w:val="00597ABC"/>
    <w:rsid w:val="005A027B"/>
    <w:rsid w:val="005A0F4E"/>
    <w:rsid w:val="005A1EFB"/>
    <w:rsid w:val="005A49DC"/>
    <w:rsid w:val="005A6339"/>
    <w:rsid w:val="005A63AA"/>
    <w:rsid w:val="005A7D50"/>
    <w:rsid w:val="005B1997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3C3B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4CA3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7A5"/>
    <w:rsid w:val="00692F26"/>
    <w:rsid w:val="00693147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2416"/>
    <w:rsid w:val="006C7995"/>
    <w:rsid w:val="006D0B73"/>
    <w:rsid w:val="006D1DB6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E77CA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270FB"/>
    <w:rsid w:val="00730F0E"/>
    <w:rsid w:val="007317B3"/>
    <w:rsid w:val="00731850"/>
    <w:rsid w:val="00731D49"/>
    <w:rsid w:val="00732410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983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292"/>
    <w:rsid w:val="00790849"/>
    <w:rsid w:val="00791426"/>
    <w:rsid w:val="0079418B"/>
    <w:rsid w:val="00794C14"/>
    <w:rsid w:val="00796912"/>
    <w:rsid w:val="007969C4"/>
    <w:rsid w:val="00796A6E"/>
    <w:rsid w:val="007A1B1A"/>
    <w:rsid w:val="007A3DBB"/>
    <w:rsid w:val="007A4991"/>
    <w:rsid w:val="007A5E3C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41C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3DF3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16B3"/>
    <w:rsid w:val="008924FB"/>
    <w:rsid w:val="008946C2"/>
    <w:rsid w:val="00896231"/>
    <w:rsid w:val="00896A5F"/>
    <w:rsid w:val="00896AA5"/>
    <w:rsid w:val="0089723B"/>
    <w:rsid w:val="0089734C"/>
    <w:rsid w:val="0089759B"/>
    <w:rsid w:val="008979CD"/>
    <w:rsid w:val="00897FC8"/>
    <w:rsid w:val="008A0A0C"/>
    <w:rsid w:val="008A1221"/>
    <w:rsid w:val="008A2AB3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3AD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699"/>
    <w:rsid w:val="00904E72"/>
    <w:rsid w:val="00905193"/>
    <w:rsid w:val="00906D3E"/>
    <w:rsid w:val="009075A2"/>
    <w:rsid w:val="009115A0"/>
    <w:rsid w:val="00911C99"/>
    <w:rsid w:val="00912A26"/>
    <w:rsid w:val="009163A2"/>
    <w:rsid w:val="0091656C"/>
    <w:rsid w:val="00916696"/>
    <w:rsid w:val="0092039B"/>
    <w:rsid w:val="0092438B"/>
    <w:rsid w:val="00925E31"/>
    <w:rsid w:val="00930634"/>
    <w:rsid w:val="0093134B"/>
    <w:rsid w:val="00932711"/>
    <w:rsid w:val="00933026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69D4"/>
    <w:rsid w:val="00977340"/>
    <w:rsid w:val="00983B94"/>
    <w:rsid w:val="00985927"/>
    <w:rsid w:val="00986A10"/>
    <w:rsid w:val="0098743F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25C2"/>
    <w:rsid w:val="009A3289"/>
    <w:rsid w:val="009A3CDE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588E"/>
    <w:rsid w:val="009C12C3"/>
    <w:rsid w:val="009C1402"/>
    <w:rsid w:val="009C1448"/>
    <w:rsid w:val="009C1BA5"/>
    <w:rsid w:val="009C2C65"/>
    <w:rsid w:val="009C319E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4085"/>
    <w:rsid w:val="009E5E5D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C91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C28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5BB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06B"/>
    <w:rsid w:val="00A734BE"/>
    <w:rsid w:val="00A74FF5"/>
    <w:rsid w:val="00A7538D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97540"/>
    <w:rsid w:val="00AA0304"/>
    <w:rsid w:val="00AA0F24"/>
    <w:rsid w:val="00AA2004"/>
    <w:rsid w:val="00AA222E"/>
    <w:rsid w:val="00AA279E"/>
    <w:rsid w:val="00AA377C"/>
    <w:rsid w:val="00AA5078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2BA3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27258"/>
    <w:rsid w:val="00B312C1"/>
    <w:rsid w:val="00B3151D"/>
    <w:rsid w:val="00B31C31"/>
    <w:rsid w:val="00B340E5"/>
    <w:rsid w:val="00B348A7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1032"/>
    <w:rsid w:val="00B73813"/>
    <w:rsid w:val="00B73A6C"/>
    <w:rsid w:val="00B73E88"/>
    <w:rsid w:val="00B75968"/>
    <w:rsid w:val="00B76C7A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0D23"/>
    <w:rsid w:val="00B919BD"/>
    <w:rsid w:val="00B9243B"/>
    <w:rsid w:val="00B93639"/>
    <w:rsid w:val="00B94CE3"/>
    <w:rsid w:val="00B9560A"/>
    <w:rsid w:val="00B9669A"/>
    <w:rsid w:val="00B976B8"/>
    <w:rsid w:val="00B9794C"/>
    <w:rsid w:val="00BA0DF0"/>
    <w:rsid w:val="00BA16F7"/>
    <w:rsid w:val="00BA41BF"/>
    <w:rsid w:val="00BA43C0"/>
    <w:rsid w:val="00BA49F2"/>
    <w:rsid w:val="00BA6C9C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03C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24C7"/>
    <w:rsid w:val="00CB3AB5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18FC"/>
    <w:rsid w:val="00CD2C96"/>
    <w:rsid w:val="00CD3865"/>
    <w:rsid w:val="00CD46EA"/>
    <w:rsid w:val="00CD5535"/>
    <w:rsid w:val="00CD7FEB"/>
    <w:rsid w:val="00CE2308"/>
    <w:rsid w:val="00CE5450"/>
    <w:rsid w:val="00CF0FFD"/>
    <w:rsid w:val="00CF106E"/>
    <w:rsid w:val="00CF3710"/>
    <w:rsid w:val="00CF3D3A"/>
    <w:rsid w:val="00CF4F4D"/>
    <w:rsid w:val="00CF5206"/>
    <w:rsid w:val="00CF568A"/>
    <w:rsid w:val="00CF5FB9"/>
    <w:rsid w:val="00CF79E0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281F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2B67"/>
    <w:rsid w:val="00DF3C35"/>
    <w:rsid w:val="00DF3E1D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4D20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5695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1A1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5E30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304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5D3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B6E0A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A7F02-BF13-4295-A471-0026FE44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B6"/>
  </w:style>
  <w:style w:type="paragraph" w:styleId="1">
    <w:name w:val="heading 1"/>
    <w:basedOn w:val="a"/>
    <w:link w:val="10"/>
    <w:uiPriority w:val="9"/>
    <w:qFormat/>
    <w:rsid w:val="00A9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rsid w:val="0017529F"/>
    <w:rPr>
      <w:color w:val="0000FF"/>
      <w:u w:val="single"/>
    </w:rPr>
  </w:style>
  <w:style w:type="paragraph" w:customStyle="1" w:styleId="Default">
    <w:name w:val="Default"/>
    <w:rsid w:val="00481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A3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Бердіхан Қазырет</cp:lastModifiedBy>
  <cp:revision>11</cp:revision>
  <cp:lastPrinted>2016-04-21T03:25:00Z</cp:lastPrinted>
  <dcterms:created xsi:type="dcterms:W3CDTF">2016-12-22T08:03:00Z</dcterms:created>
  <dcterms:modified xsi:type="dcterms:W3CDTF">2017-01-05T07:47:00Z</dcterms:modified>
</cp:coreProperties>
</file>